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36C19" w14:textId="04B532A2" w:rsidR="0053793C" w:rsidRDefault="00000000" w:rsidP="00796EF3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7"/>
          <w:szCs w:val="27"/>
        </w:rPr>
      </w:pPr>
      <w:r>
        <w:rPr>
          <w:rFonts w:ascii="Arial" w:hAnsi="Arial" w:cs="Arial"/>
          <w:b/>
          <w:bCs/>
          <w:color w:val="000000"/>
          <w:kern w:val="0"/>
        </w:rPr>
        <w:t>PUČKA KNJIŽNICA I ČITAONICA</w:t>
      </w:r>
    </w:p>
    <w:p w14:paraId="4206C869" w14:textId="366423E1" w:rsidR="0053793C" w:rsidRDefault="00000000" w:rsidP="00796EF3">
      <w:pPr>
        <w:widowControl w:val="0"/>
        <w:tabs>
          <w:tab w:val="left" w:pos="102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4"/>
          <w:szCs w:val="24"/>
        </w:rPr>
      </w:pPr>
      <w:r>
        <w:rPr>
          <w:rFonts w:ascii="Arial" w:hAnsi="Arial" w:cs="Arial"/>
          <w:b/>
          <w:bCs/>
          <w:color w:val="000000"/>
          <w:kern w:val="0"/>
        </w:rPr>
        <w:t>DARUVAR</w:t>
      </w:r>
    </w:p>
    <w:p w14:paraId="1998F10F" w14:textId="4BFA1A16" w:rsidR="00796EF3" w:rsidRDefault="00796EF3" w:rsidP="008E0F5E">
      <w:pPr>
        <w:widowControl w:val="0"/>
        <w:tabs>
          <w:tab w:val="left" w:pos="1020"/>
        </w:tabs>
        <w:autoSpaceDE w:val="0"/>
        <w:autoSpaceDN w:val="0"/>
        <w:adjustRightInd w:val="0"/>
        <w:spacing w:before="119" w:after="0" w:line="240" w:lineRule="auto"/>
        <w:rPr>
          <w:rFonts w:ascii="Arial" w:hAnsi="Arial" w:cs="Arial"/>
          <w:b/>
          <w:bCs/>
          <w:color w:val="000000"/>
          <w:kern w:val="0"/>
          <w:sz w:val="16"/>
          <w:szCs w:val="16"/>
        </w:rPr>
      </w:pPr>
    </w:p>
    <w:p w14:paraId="19432902" w14:textId="7B762375" w:rsidR="0053793C" w:rsidRDefault="00796EF3" w:rsidP="00796EF3">
      <w:pPr>
        <w:widowControl w:val="0"/>
        <w:tabs>
          <w:tab w:val="left" w:pos="1020"/>
        </w:tabs>
        <w:autoSpaceDE w:val="0"/>
        <w:autoSpaceDN w:val="0"/>
        <w:adjustRightInd w:val="0"/>
        <w:spacing w:before="119" w:after="0" w:line="240" w:lineRule="auto"/>
        <w:jc w:val="center"/>
        <w:rPr>
          <w:rFonts w:ascii="Arial" w:hAnsi="Arial" w:cs="Arial"/>
          <w:b/>
          <w:bCs/>
          <w:color w:val="000000"/>
          <w:kern w:val="0"/>
          <w:sz w:val="21"/>
          <w:szCs w:val="21"/>
        </w:rPr>
      </w:pPr>
      <w:r w:rsidRPr="00796EF3">
        <w:rPr>
          <w:rFonts w:ascii="Arial" w:hAnsi="Arial" w:cs="Arial"/>
          <w:b/>
          <w:bCs/>
          <w:color w:val="000000"/>
          <w:kern w:val="0"/>
          <w:sz w:val="16"/>
          <w:szCs w:val="16"/>
        </w:rPr>
        <w:t xml:space="preserve">Na temelju članka </w:t>
      </w:r>
      <w:r w:rsidR="003D72F4">
        <w:rPr>
          <w:rFonts w:ascii="Arial" w:hAnsi="Arial" w:cs="Arial"/>
          <w:b/>
          <w:bCs/>
          <w:color w:val="000000"/>
          <w:kern w:val="0"/>
          <w:sz w:val="16"/>
          <w:szCs w:val="16"/>
        </w:rPr>
        <w:t>38</w:t>
      </w:r>
      <w:r w:rsidRPr="00796EF3">
        <w:rPr>
          <w:rFonts w:ascii="Arial" w:hAnsi="Arial" w:cs="Arial"/>
          <w:b/>
          <w:bCs/>
          <w:color w:val="000000"/>
          <w:kern w:val="0"/>
          <w:sz w:val="16"/>
          <w:szCs w:val="16"/>
        </w:rPr>
        <w:t>. Zakona o proračunu(N</w:t>
      </w:r>
      <w:r>
        <w:rPr>
          <w:rFonts w:ascii="Arial" w:hAnsi="Arial" w:cs="Arial"/>
          <w:b/>
          <w:bCs/>
          <w:color w:val="000000"/>
          <w:kern w:val="0"/>
          <w:sz w:val="16"/>
          <w:szCs w:val="16"/>
        </w:rPr>
        <w:t>.N 144/2021)</w:t>
      </w:r>
      <w:r w:rsidRPr="00796EF3">
        <w:rPr>
          <w:rFonts w:ascii="Arial" w:hAnsi="Arial" w:cs="Arial"/>
          <w:b/>
          <w:bCs/>
          <w:color w:val="000000"/>
          <w:kern w:val="0"/>
          <w:sz w:val="16"/>
          <w:szCs w:val="16"/>
        </w:rPr>
        <w:t>, Ravnateljica Pučke knjižnice i čitaonice Daruvar Roman</w:t>
      </w:r>
      <w:r>
        <w:rPr>
          <w:rFonts w:ascii="Arial" w:hAnsi="Arial" w:cs="Arial"/>
          <w:b/>
          <w:bCs/>
          <w:color w:val="000000"/>
          <w:kern w:val="0"/>
          <w:sz w:val="16"/>
          <w:szCs w:val="16"/>
        </w:rPr>
        <w:t>a</w:t>
      </w:r>
      <w:r w:rsidRPr="00796EF3">
        <w:rPr>
          <w:rFonts w:ascii="Arial" w:hAnsi="Arial" w:cs="Arial"/>
          <w:b/>
          <w:bCs/>
          <w:color w:val="000000"/>
          <w:kern w:val="0"/>
          <w:sz w:val="16"/>
          <w:szCs w:val="16"/>
        </w:rPr>
        <w:t xml:space="preserve"> Horvat donosi</w:t>
      </w:r>
      <w:r>
        <w:rPr>
          <w:rFonts w:ascii="Arial" w:hAnsi="Arial" w:cs="Arial"/>
          <w:b/>
          <w:bCs/>
          <w:color w:val="000000"/>
          <w:kern w:val="0"/>
          <w:sz w:val="16"/>
          <w:szCs w:val="16"/>
        </w:rPr>
        <w:t>:</w:t>
      </w:r>
    </w:p>
    <w:p w14:paraId="4088E26E" w14:textId="2091A0C3" w:rsidR="0053793C" w:rsidRDefault="00796EF3" w:rsidP="00796EF3">
      <w:pPr>
        <w:widowControl w:val="0"/>
        <w:tabs>
          <w:tab w:val="center" w:pos="7624"/>
        </w:tabs>
        <w:autoSpaceDE w:val="0"/>
        <w:autoSpaceDN w:val="0"/>
        <w:adjustRightInd w:val="0"/>
        <w:spacing w:before="311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32"/>
          <w:szCs w:val="32"/>
        </w:rPr>
      </w:pPr>
      <w:r>
        <w:rPr>
          <w:rFonts w:ascii="Tahoma" w:hAnsi="Tahoma" w:cs="Tahoma"/>
          <w:b/>
          <w:bCs/>
          <w:color w:val="000000"/>
          <w:kern w:val="0"/>
          <w:sz w:val="24"/>
          <w:szCs w:val="24"/>
        </w:rPr>
        <w:t xml:space="preserve"> FINANCIJSK</w:t>
      </w:r>
      <w:r w:rsidR="00BE0AEB">
        <w:rPr>
          <w:rFonts w:ascii="Tahoma" w:hAnsi="Tahoma" w:cs="Tahoma"/>
          <w:b/>
          <w:bCs/>
          <w:color w:val="000000"/>
          <w:kern w:val="0"/>
          <w:sz w:val="24"/>
          <w:szCs w:val="24"/>
        </w:rPr>
        <w:t>I</w:t>
      </w:r>
      <w:r>
        <w:rPr>
          <w:rFonts w:ascii="Tahoma" w:hAnsi="Tahoma" w:cs="Tahoma"/>
          <w:b/>
          <w:bCs/>
          <w:color w:val="000000"/>
          <w:kern w:val="0"/>
          <w:sz w:val="24"/>
          <w:szCs w:val="24"/>
        </w:rPr>
        <w:t xml:space="preserve"> PLAN ZA 2024. I PROJEKCIJA ZA 2025. I 2026. GODINU</w:t>
      </w:r>
    </w:p>
    <w:p w14:paraId="36588B28" w14:textId="77777777" w:rsidR="00796EF3" w:rsidRDefault="00000000" w:rsidP="00796EF3">
      <w:pPr>
        <w:pStyle w:val="Odlomakpopisa"/>
        <w:widowControl w:val="0"/>
        <w:numPr>
          <w:ilvl w:val="0"/>
          <w:numId w:val="1"/>
        </w:numPr>
        <w:tabs>
          <w:tab w:val="center" w:pos="7624"/>
        </w:tabs>
        <w:autoSpaceDE w:val="0"/>
        <w:autoSpaceDN w:val="0"/>
        <w:adjustRightInd w:val="0"/>
        <w:spacing w:before="204" w:after="0" w:line="240" w:lineRule="auto"/>
        <w:rPr>
          <w:rFonts w:ascii="Tahoma" w:hAnsi="Tahoma" w:cs="Tahoma"/>
          <w:b/>
          <w:bCs/>
          <w:color w:val="000000"/>
          <w:kern w:val="0"/>
        </w:rPr>
      </w:pPr>
      <w:r w:rsidRPr="00796EF3">
        <w:rPr>
          <w:rFonts w:ascii="Tahoma" w:hAnsi="Tahoma" w:cs="Tahoma"/>
          <w:b/>
          <w:bCs/>
          <w:color w:val="000000"/>
          <w:kern w:val="0"/>
        </w:rPr>
        <w:t xml:space="preserve">OPĆI </w:t>
      </w:r>
      <w:r w:rsidR="00796EF3">
        <w:rPr>
          <w:rFonts w:ascii="Tahoma" w:hAnsi="Tahoma" w:cs="Tahoma"/>
          <w:b/>
          <w:bCs/>
          <w:color w:val="000000"/>
          <w:kern w:val="0"/>
        </w:rPr>
        <w:t xml:space="preserve"> DIO</w:t>
      </w:r>
    </w:p>
    <w:p w14:paraId="6FEEDEE6" w14:textId="36314400" w:rsidR="00796EF3" w:rsidRDefault="00796EF3" w:rsidP="00796EF3">
      <w:pPr>
        <w:widowControl w:val="0"/>
        <w:tabs>
          <w:tab w:val="center" w:pos="7624"/>
        </w:tabs>
        <w:autoSpaceDE w:val="0"/>
        <w:autoSpaceDN w:val="0"/>
        <w:adjustRightInd w:val="0"/>
        <w:spacing w:before="204" w:after="0" w:line="240" w:lineRule="auto"/>
        <w:ind w:left="6960"/>
        <w:jc w:val="center"/>
        <w:rPr>
          <w:rFonts w:ascii="Arial" w:hAnsi="Arial" w:cs="Arial"/>
          <w:kern w:val="0"/>
          <w:sz w:val="24"/>
          <w:szCs w:val="24"/>
        </w:rPr>
      </w:pPr>
      <w:r w:rsidRPr="00796EF3">
        <w:rPr>
          <w:rFonts w:ascii="Tahoma" w:hAnsi="Tahoma" w:cs="Tahoma"/>
          <w:color w:val="000000"/>
          <w:kern w:val="0"/>
          <w:sz w:val="20"/>
          <w:szCs w:val="20"/>
        </w:rPr>
        <w:t xml:space="preserve">Prijedlog Financijskog plana PKIČ Daruvar za 2024 </w:t>
      </w:r>
      <w:r>
        <w:rPr>
          <w:rFonts w:ascii="Tahoma" w:hAnsi="Tahoma" w:cs="Tahoma"/>
          <w:color w:val="000000"/>
          <w:kern w:val="0"/>
          <w:sz w:val="20"/>
          <w:szCs w:val="20"/>
        </w:rPr>
        <w:t xml:space="preserve">.g. </w:t>
      </w:r>
      <w:r w:rsidRPr="00796EF3">
        <w:rPr>
          <w:rFonts w:ascii="Tahoma" w:hAnsi="Tahoma" w:cs="Tahoma"/>
          <w:color w:val="000000"/>
          <w:kern w:val="0"/>
          <w:sz w:val="20"/>
          <w:szCs w:val="20"/>
        </w:rPr>
        <w:t>sastoji se od Sažetka Računa prihoda i rashoda i Računa financiranja i od Računa prihoda i rashoda i Računa financiranja</w:t>
      </w:r>
      <w:r w:rsidR="008E0F5E">
        <w:rPr>
          <w:rFonts w:ascii="Tahoma" w:hAnsi="Tahoma" w:cs="Tahoma"/>
          <w:color w:val="000000"/>
          <w:kern w:val="0"/>
          <w:sz w:val="20"/>
          <w:szCs w:val="20"/>
        </w:rPr>
        <w:t>.</w:t>
      </w:r>
      <w:r w:rsidRPr="00796EF3">
        <w:rPr>
          <w:rFonts w:ascii="Arial" w:hAnsi="Arial" w:cs="Arial"/>
          <w:kern w:val="0"/>
          <w:sz w:val="24"/>
          <w:szCs w:val="24"/>
        </w:rPr>
        <w:tab/>
      </w:r>
    </w:p>
    <w:p w14:paraId="282698C0" w14:textId="297E5E28" w:rsidR="0053793C" w:rsidRPr="00796EF3" w:rsidRDefault="00000000" w:rsidP="00796EF3">
      <w:pPr>
        <w:widowControl w:val="0"/>
        <w:tabs>
          <w:tab w:val="center" w:pos="7624"/>
        </w:tabs>
        <w:autoSpaceDE w:val="0"/>
        <w:autoSpaceDN w:val="0"/>
        <w:adjustRightInd w:val="0"/>
        <w:spacing w:before="204" w:after="0" w:line="240" w:lineRule="auto"/>
        <w:ind w:left="6960"/>
        <w:jc w:val="center"/>
        <w:rPr>
          <w:rFonts w:ascii="Tahoma" w:hAnsi="Tahoma" w:cs="Tahoma"/>
          <w:b/>
          <w:bCs/>
          <w:color w:val="000000"/>
          <w:kern w:val="0"/>
        </w:rPr>
      </w:pPr>
      <w:r w:rsidRPr="00796EF3">
        <w:rPr>
          <w:rFonts w:ascii="Segoe UI" w:hAnsi="Segoe UI" w:cs="Segoe UI"/>
          <w:color w:val="000000"/>
          <w:kern w:val="0"/>
          <w:sz w:val="16"/>
          <w:szCs w:val="16"/>
        </w:rPr>
        <w:t xml:space="preserve"> Navedeni iznosi su izraženi u EUR valuti</w:t>
      </w:r>
    </w:p>
    <w:p w14:paraId="6BBEBE1C" w14:textId="1958F4A1" w:rsidR="0053793C" w:rsidRDefault="00796EF3" w:rsidP="00796EF3">
      <w:pPr>
        <w:widowControl w:val="0"/>
        <w:tabs>
          <w:tab w:val="center" w:pos="9578"/>
          <w:tab w:val="center" w:pos="10825"/>
          <w:tab w:val="center" w:pos="12072"/>
          <w:tab w:val="center" w:pos="13319"/>
          <w:tab w:val="center" w:pos="14566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kern w:val="0"/>
          <w:sz w:val="19"/>
          <w:szCs w:val="19"/>
        </w:rPr>
      </w:pPr>
      <w:r>
        <w:rPr>
          <w:rFonts w:ascii="Tahoma" w:hAnsi="Tahoma" w:cs="Tahoma"/>
          <w:color w:val="000000"/>
          <w:kern w:val="0"/>
          <w:sz w:val="14"/>
          <w:szCs w:val="14"/>
        </w:rPr>
        <w:t xml:space="preserve">                                                                                                                                                   Izvršenje 2022.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4"/>
          <w:szCs w:val="14"/>
        </w:rPr>
        <w:t>II. Rebalans 2023. -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4"/>
          <w:szCs w:val="14"/>
        </w:rPr>
        <w:t>Proračun za 2024.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4"/>
          <w:szCs w:val="14"/>
        </w:rPr>
        <w:t>Projekcija za 2025.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4"/>
          <w:szCs w:val="14"/>
        </w:rPr>
        <w:t>Projekcija za 2026.</w:t>
      </w:r>
    </w:p>
    <w:p w14:paraId="0F903980" w14:textId="194EA1A2" w:rsidR="0053793C" w:rsidRDefault="00000000" w:rsidP="00796EF3">
      <w:pPr>
        <w:widowControl w:val="0"/>
        <w:tabs>
          <w:tab w:val="center" w:pos="10825"/>
        </w:tabs>
        <w:autoSpaceDE w:val="0"/>
        <w:autoSpaceDN w:val="0"/>
        <w:adjustRightInd w:val="0"/>
        <w:spacing w:after="0" w:line="240" w:lineRule="auto"/>
        <w:jc w:val="center"/>
        <w:rPr>
          <w:rFonts w:ascii="Tahoma" w:hAnsi="Tahoma" w:cs="Tahoma"/>
          <w:color w:val="000000"/>
          <w:kern w:val="0"/>
          <w:sz w:val="16"/>
          <w:szCs w:val="16"/>
        </w:rPr>
      </w:pPr>
      <w:r>
        <w:rPr>
          <w:rFonts w:ascii="Tahoma" w:hAnsi="Tahoma" w:cs="Tahoma"/>
          <w:color w:val="000000"/>
          <w:kern w:val="0"/>
          <w:sz w:val="14"/>
          <w:szCs w:val="14"/>
        </w:rPr>
        <w:t>.</w:t>
      </w:r>
    </w:p>
    <w:p w14:paraId="2AFAAAC2" w14:textId="3F6EB710" w:rsidR="0053793C" w:rsidRDefault="00000000" w:rsidP="00796EF3">
      <w:pPr>
        <w:widowControl w:val="0"/>
        <w:tabs>
          <w:tab w:val="center" w:pos="7624"/>
        </w:tabs>
        <w:autoSpaceDE w:val="0"/>
        <w:autoSpaceDN w:val="0"/>
        <w:adjustRightInd w:val="0"/>
        <w:spacing w:before="273" w:after="0" w:line="240" w:lineRule="auto"/>
        <w:jc w:val="center"/>
        <w:rPr>
          <w:rFonts w:ascii="Tahoma" w:hAnsi="Tahoma" w:cs="Tahoma"/>
          <w:color w:val="000000"/>
          <w:kern w:val="0"/>
          <w:sz w:val="29"/>
          <w:szCs w:val="29"/>
        </w:rPr>
      </w:pPr>
      <w:r>
        <w:rPr>
          <w:rFonts w:ascii="Tahoma" w:hAnsi="Tahoma" w:cs="Tahoma"/>
          <w:color w:val="000000"/>
          <w:kern w:val="0"/>
        </w:rPr>
        <w:t>A) SAŽETAK RAČUNA PRIHODA I RASHODA</w:t>
      </w:r>
    </w:p>
    <w:p w14:paraId="6D75A459" w14:textId="281E403A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178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UKUPNO PRIHODA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205.872,</w:t>
      </w:r>
      <w:r w:rsidR="00FF3697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15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246.848,79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255.</w:t>
      </w:r>
      <w:r w:rsidR="00A872C1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546,46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252.698,97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252.698,97</w:t>
      </w:r>
    </w:p>
    <w:p w14:paraId="552EDC4C" w14:textId="5E05EE8E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94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PRIHODI POSLOVANJA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205.872,</w:t>
      </w:r>
      <w:r w:rsidR="00FF3697">
        <w:rPr>
          <w:rFonts w:ascii="Tahoma" w:hAnsi="Tahoma" w:cs="Tahoma"/>
          <w:color w:val="000000"/>
          <w:kern w:val="0"/>
          <w:sz w:val="16"/>
          <w:szCs w:val="16"/>
        </w:rPr>
        <w:t>15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246.648,79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255.</w:t>
      </w:r>
      <w:r w:rsidR="00A872C1">
        <w:rPr>
          <w:rFonts w:ascii="Tahoma" w:hAnsi="Tahoma" w:cs="Tahoma"/>
          <w:color w:val="000000"/>
          <w:kern w:val="0"/>
          <w:sz w:val="16"/>
          <w:szCs w:val="16"/>
        </w:rPr>
        <w:t>346,46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252.498,97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252.498,97</w:t>
      </w:r>
    </w:p>
    <w:p w14:paraId="01C63418" w14:textId="7777777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PRIHODI OD PRODAJE NEFINANCIJSKE IMOVINE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200,00</w:t>
      </w:r>
    </w:p>
    <w:p w14:paraId="2BC92016" w14:textId="26783709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UKUPNO RASHODA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205.485,</w:t>
      </w:r>
      <w:r w:rsidR="00FF3697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7</w:t>
      </w:r>
      <w:r w:rsidR="00B017D8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239.614,80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252.</w:t>
      </w:r>
      <w:r w:rsidR="00A872C1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546,46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252.698,97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252.698,97</w:t>
      </w:r>
    </w:p>
    <w:p w14:paraId="5DE0BBA4" w14:textId="36ECC90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94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RASHODI  POSLOVANJA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191.295,</w:t>
      </w:r>
      <w:r w:rsidR="00FF3697">
        <w:rPr>
          <w:rFonts w:ascii="Tahoma" w:hAnsi="Tahoma" w:cs="Tahoma"/>
          <w:color w:val="000000"/>
          <w:kern w:val="0"/>
          <w:sz w:val="16"/>
          <w:szCs w:val="16"/>
        </w:rPr>
        <w:t>58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215.726,20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229.0</w:t>
      </w:r>
      <w:r w:rsidR="00A872C1">
        <w:rPr>
          <w:rFonts w:ascii="Tahoma" w:hAnsi="Tahoma" w:cs="Tahoma"/>
          <w:color w:val="000000"/>
          <w:kern w:val="0"/>
          <w:sz w:val="16"/>
          <w:szCs w:val="16"/>
        </w:rPr>
        <w:t>68,86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228.810,37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228.810,37</w:t>
      </w:r>
    </w:p>
    <w:p w14:paraId="118B76A5" w14:textId="568C96F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RASHODI ZA NABAVU NEFINANCIJSKE IMOVINE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14.190,</w:t>
      </w:r>
      <w:r w:rsidR="00B017D8">
        <w:rPr>
          <w:rFonts w:ascii="Tahoma" w:hAnsi="Tahoma" w:cs="Tahoma"/>
          <w:color w:val="000000"/>
          <w:kern w:val="0"/>
          <w:sz w:val="16"/>
          <w:szCs w:val="16"/>
        </w:rPr>
        <w:t>19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23.</w:t>
      </w:r>
      <w:r w:rsidR="00A872C1">
        <w:rPr>
          <w:rFonts w:ascii="Tahoma" w:hAnsi="Tahoma" w:cs="Tahoma"/>
          <w:color w:val="000000"/>
          <w:kern w:val="0"/>
          <w:sz w:val="16"/>
          <w:szCs w:val="16"/>
        </w:rPr>
        <w:t>888,60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23.</w:t>
      </w:r>
      <w:r w:rsidR="00A872C1">
        <w:rPr>
          <w:rFonts w:ascii="Tahoma" w:hAnsi="Tahoma" w:cs="Tahoma"/>
          <w:color w:val="000000"/>
          <w:kern w:val="0"/>
          <w:sz w:val="16"/>
          <w:szCs w:val="16"/>
        </w:rPr>
        <w:t>477,60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23.888,60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23.888,60</w:t>
      </w:r>
    </w:p>
    <w:p w14:paraId="2E535948" w14:textId="40A94B63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RAZLIKA VIŠAK/MANJAK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386,</w:t>
      </w:r>
      <w:r w:rsidR="00FF3697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3</w:t>
      </w:r>
      <w:r w:rsidR="00B017D8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8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7.233,99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3.000,00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</w:p>
    <w:p w14:paraId="4E94E19E" w14:textId="1571B569" w:rsidR="0053793C" w:rsidRDefault="00000000" w:rsidP="00796EF3">
      <w:pPr>
        <w:widowControl w:val="0"/>
        <w:tabs>
          <w:tab w:val="center" w:pos="7624"/>
        </w:tabs>
        <w:autoSpaceDE w:val="0"/>
        <w:autoSpaceDN w:val="0"/>
        <w:adjustRightInd w:val="0"/>
        <w:spacing w:before="384" w:after="0" w:line="240" w:lineRule="auto"/>
        <w:jc w:val="center"/>
        <w:rPr>
          <w:rFonts w:ascii="Tahoma" w:hAnsi="Tahoma" w:cs="Tahoma"/>
          <w:color w:val="000000"/>
          <w:kern w:val="0"/>
          <w:sz w:val="29"/>
          <w:szCs w:val="29"/>
        </w:rPr>
      </w:pPr>
      <w:r>
        <w:rPr>
          <w:rFonts w:ascii="Tahoma" w:hAnsi="Tahoma" w:cs="Tahoma"/>
          <w:color w:val="000000"/>
          <w:kern w:val="0"/>
        </w:rPr>
        <w:t>B) SAŽETAK RAČUNA FINANCIRANJA</w:t>
      </w:r>
    </w:p>
    <w:p w14:paraId="40A048A9" w14:textId="7777777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128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PRIMICI OD FINANCIJSKE IMOVINE I ZADUŽIVANJA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</w:p>
    <w:p w14:paraId="60104233" w14:textId="7777777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color w:val="000000"/>
          <w:kern w:val="0"/>
        </w:rPr>
      </w:pPr>
      <w:r>
        <w:rPr>
          <w:rFonts w:ascii="Tahoma" w:hAnsi="Tahoma" w:cs="Tahoma"/>
          <w:color w:val="000000"/>
          <w:kern w:val="0"/>
          <w:sz w:val="16"/>
          <w:szCs w:val="16"/>
        </w:rPr>
        <w:t>IZDACI ZA FINANCIJSKU IMOVINU I OTPLATE ZAJMOVA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color w:val="000000"/>
          <w:kern w:val="0"/>
          <w:sz w:val="16"/>
          <w:szCs w:val="16"/>
        </w:rPr>
        <w:t>0,00</w:t>
      </w:r>
    </w:p>
    <w:p w14:paraId="6AC89151" w14:textId="77777777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68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NETO FINANCIRANJE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</w:p>
    <w:p w14:paraId="2B7BB4C2" w14:textId="014570A7" w:rsidR="0053793C" w:rsidRDefault="00000000" w:rsidP="00796EF3">
      <w:pPr>
        <w:widowControl w:val="0"/>
        <w:tabs>
          <w:tab w:val="center" w:pos="7647"/>
        </w:tabs>
        <w:autoSpaceDE w:val="0"/>
        <w:autoSpaceDN w:val="0"/>
        <w:adjustRightInd w:val="0"/>
        <w:spacing w:before="533" w:after="0" w:line="240" w:lineRule="auto"/>
        <w:jc w:val="center"/>
        <w:rPr>
          <w:rFonts w:ascii="Tahoma" w:hAnsi="Tahoma" w:cs="Tahoma"/>
          <w:color w:val="000000"/>
          <w:kern w:val="0"/>
          <w:sz w:val="29"/>
          <w:szCs w:val="29"/>
        </w:rPr>
      </w:pPr>
      <w:r>
        <w:rPr>
          <w:rFonts w:ascii="Tahoma" w:hAnsi="Tahoma" w:cs="Tahoma"/>
          <w:color w:val="000000"/>
          <w:kern w:val="0"/>
        </w:rPr>
        <w:t>C) PRENESENI VIŠAK ILI PRENESENI MANJAK</w:t>
      </w:r>
    </w:p>
    <w:p w14:paraId="43D23258" w14:textId="43F8639B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133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UKUPAN DONOS VIŠKA / MANJKA IZ PRETHODNE(IH) GODINE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-7.620,3</w:t>
      </w:r>
      <w:r w:rsidR="00B017D8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-7.233,99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-3.000,00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</w:p>
    <w:p w14:paraId="71E238D3" w14:textId="6F2B5800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94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VIŠAK / MANJAK IZ PRETHODNE(IH) GODINE KOJI ĆE SE RASPOREDITI / POKRITI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-7.620,3</w:t>
      </w:r>
      <w:r w:rsidR="00B017D8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7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-7.233,99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-3.000,00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</w:p>
    <w:p w14:paraId="0EAAF536" w14:textId="680F9DEE" w:rsidR="0053793C" w:rsidRDefault="00000000" w:rsidP="00796EF3">
      <w:pPr>
        <w:widowControl w:val="0"/>
        <w:tabs>
          <w:tab w:val="left" w:pos="90"/>
          <w:tab w:val="right" w:pos="10208"/>
          <w:tab w:val="right" w:pos="11455"/>
          <w:tab w:val="right" w:pos="12702"/>
          <w:tab w:val="right" w:pos="13949"/>
          <w:tab w:val="right" w:pos="15196"/>
        </w:tabs>
        <w:autoSpaceDE w:val="0"/>
        <w:autoSpaceDN w:val="0"/>
        <w:adjustRightInd w:val="0"/>
        <w:spacing w:before="217" w:after="0" w:line="240" w:lineRule="auto"/>
        <w:jc w:val="center"/>
        <w:rPr>
          <w:rFonts w:ascii="Tahoma" w:hAnsi="Tahoma" w:cs="Tahoma"/>
          <w:b/>
          <w:bCs/>
          <w:color w:val="000000"/>
          <w:kern w:val="0"/>
          <w:sz w:val="19"/>
          <w:szCs w:val="19"/>
        </w:rPr>
      </w:pP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VIŠAK/MANJAK + NETO FINANCIRANJE + RASPOLOŽIVA SREDSTVA IZ PRETHODNIH GODINA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-7.23</w:t>
      </w:r>
      <w:r w:rsidR="00FF3697"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3,99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  <w:r>
        <w:rPr>
          <w:rFonts w:ascii="Arial" w:hAnsi="Arial" w:cs="Arial"/>
          <w:kern w:val="0"/>
          <w:sz w:val="24"/>
          <w:szCs w:val="24"/>
        </w:rPr>
        <w:tab/>
      </w:r>
      <w:r>
        <w:rPr>
          <w:rFonts w:ascii="Tahoma" w:hAnsi="Tahoma" w:cs="Tahoma"/>
          <w:b/>
          <w:bCs/>
          <w:color w:val="000000"/>
          <w:kern w:val="0"/>
          <w:sz w:val="14"/>
          <w:szCs w:val="14"/>
        </w:rPr>
        <w:t>0,00</w:t>
      </w:r>
    </w:p>
    <w:p w14:paraId="4F8DC426" w14:textId="5FFF6AAB" w:rsidR="000E604F" w:rsidRDefault="00A06E16" w:rsidP="00796EF3">
      <w:pPr>
        <w:widowControl w:val="0"/>
        <w:tabs>
          <w:tab w:val="left" w:pos="90"/>
        </w:tabs>
        <w:autoSpaceDE w:val="0"/>
        <w:autoSpaceDN w:val="0"/>
        <w:adjustRightInd w:val="0"/>
        <w:spacing w:before="902" w:after="0" w:line="240" w:lineRule="auto"/>
        <w:jc w:val="center"/>
        <w:rPr>
          <w:rFonts w:ascii="Tahoma" w:hAnsi="Tahoma" w:cs="Tahoma"/>
          <w:color w:val="080000"/>
          <w:kern w:val="0"/>
        </w:rPr>
      </w:pPr>
      <w:r w:rsidRPr="00A06E16">
        <w:rPr>
          <w:rFonts w:ascii="Tahoma" w:hAnsi="Tahoma" w:cs="Tahoma"/>
          <w:color w:val="080000"/>
          <w:kern w:val="0"/>
        </w:rPr>
        <w:t>D</w:t>
      </w:r>
      <w:r>
        <w:rPr>
          <w:rFonts w:ascii="Tahoma" w:hAnsi="Tahoma" w:cs="Tahoma"/>
          <w:color w:val="080000"/>
          <w:kern w:val="0"/>
        </w:rPr>
        <w:t>) VIŠEGODIŠNJI PLAN URAVNOTEŽENJA</w:t>
      </w:r>
    </w:p>
    <w:p w14:paraId="668E3434" w14:textId="7C5AF463" w:rsidR="00A06E16" w:rsidRDefault="0065422F" w:rsidP="0065422F">
      <w:pPr>
        <w:widowControl w:val="0"/>
        <w:tabs>
          <w:tab w:val="left" w:pos="90"/>
        </w:tabs>
        <w:autoSpaceDE w:val="0"/>
        <w:autoSpaceDN w:val="0"/>
        <w:adjustRightInd w:val="0"/>
        <w:spacing w:before="902" w:after="0" w:line="240" w:lineRule="auto"/>
        <w:jc w:val="center"/>
        <w:rPr>
          <w:rFonts w:ascii="Tahoma" w:hAnsi="Tahoma" w:cs="Tahoma"/>
          <w:color w:val="080000"/>
          <w:kern w:val="0"/>
          <w:sz w:val="16"/>
          <w:szCs w:val="16"/>
        </w:rPr>
      </w:pPr>
      <w:r>
        <w:rPr>
          <w:rFonts w:ascii="Tahoma" w:hAnsi="Tahoma" w:cs="Tahoma"/>
          <w:color w:val="080000"/>
          <w:kern w:val="0"/>
          <w:sz w:val="16"/>
          <w:szCs w:val="16"/>
        </w:rPr>
        <w:lastRenderedPageBreak/>
        <w:t>PRIJENOS</w:t>
      </w:r>
      <w:r w:rsidR="00A06E16">
        <w:rPr>
          <w:rFonts w:ascii="Tahoma" w:hAnsi="Tahoma" w:cs="Tahoma"/>
          <w:color w:val="080000"/>
          <w:kern w:val="0"/>
          <w:sz w:val="16"/>
          <w:szCs w:val="16"/>
        </w:rPr>
        <w:t xml:space="preserve"> VIŠKA/MANJKA </w:t>
      </w:r>
      <w:r>
        <w:rPr>
          <w:rFonts w:ascii="Tahoma" w:hAnsi="Tahoma" w:cs="Tahoma"/>
          <w:color w:val="080000"/>
          <w:kern w:val="0"/>
          <w:sz w:val="16"/>
          <w:szCs w:val="16"/>
        </w:rPr>
        <w:t>IZ PRETHODNE(IH) GODINE                                                                                      0,00             0,00                0,00            0,00             0,00</w:t>
      </w:r>
    </w:p>
    <w:p w14:paraId="68655944" w14:textId="2F35C3C8" w:rsidR="0065422F" w:rsidRDefault="0065422F" w:rsidP="0065422F">
      <w:pPr>
        <w:widowControl w:val="0"/>
        <w:tabs>
          <w:tab w:val="left" w:pos="90"/>
        </w:tabs>
        <w:autoSpaceDE w:val="0"/>
        <w:autoSpaceDN w:val="0"/>
        <w:adjustRightInd w:val="0"/>
        <w:spacing w:before="902" w:after="0" w:line="240" w:lineRule="auto"/>
        <w:jc w:val="center"/>
        <w:rPr>
          <w:rFonts w:ascii="Tahoma" w:hAnsi="Tahoma" w:cs="Tahoma"/>
          <w:color w:val="080000"/>
          <w:kern w:val="0"/>
          <w:sz w:val="16"/>
          <w:szCs w:val="16"/>
        </w:rPr>
      </w:pPr>
      <w:r>
        <w:rPr>
          <w:rFonts w:ascii="Tahoma" w:hAnsi="Tahoma" w:cs="Tahoma"/>
          <w:color w:val="080000"/>
          <w:kern w:val="0"/>
          <w:sz w:val="16"/>
          <w:szCs w:val="16"/>
        </w:rPr>
        <w:t>VIŠAK/MANJAK IZ PRETHODNE(IH) GODINE KOJI ĆE SE RASPOREDITI/POKRITI                                                            0,00             0,00                0,00            0,00            0,00</w:t>
      </w:r>
    </w:p>
    <w:p w14:paraId="68167793" w14:textId="139443FC" w:rsidR="0065422F" w:rsidRDefault="0065422F" w:rsidP="0065422F">
      <w:pPr>
        <w:widowControl w:val="0"/>
        <w:tabs>
          <w:tab w:val="left" w:pos="90"/>
        </w:tabs>
        <w:autoSpaceDE w:val="0"/>
        <w:autoSpaceDN w:val="0"/>
        <w:adjustRightInd w:val="0"/>
        <w:spacing w:before="902" w:after="0" w:line="240" w:lineRule="auto"/>
        <w:jc w:val="center"/>
        <w:rPr>
          <w:rFonts w:ascii="Tahoma" w:hAnsi="Tahoma" w:cs="Tahoma"/>
          <w:color w:val="080000"/>
          <w:kern w:val="0"/>
          <w:sz w:val="16"/>
          <w:szCs w:val="16"/>
        </w:rPr>
      </w:pPr>
      <w:r>
        <w:rPr>
          <w:rFonts w:ascii="Tahoma" w:hAnsi="Tahoma" w:cs="Tahoma"/>
          <w:color w:val="080000"/>
          <w:kern w:val="0"/>
          <w:sz w:val="16"/>
          <w:szCs w:val="16"/>
        </w:rPr>
        <w:t>VIŠAK/MANJAK TEKUĆE GODINE                                                                                                            0,00               0,00               0,00            0,00             0,00</w:t>
      </w:r>
    </w:p>
    <w:p w14:paraId="41BF75A7" w14:textId="4D903AF8" w:rsidR="0065422F" w:rsidRPr="0065422F" w:rsidRDefault="0065422F" w:rsidP="0065422F">
      <w:pPr>
        <w:widowControl w:val="0"/>
        <w:tabs>
          <w:tab w:val="left" w:pos="90"/>
        </w:tabs>
        <w:autoSpaceDE w:val="0"/>
        <w:autoSpaceDN w:val="0"/>
        <w:adjustRightInd w:val="0"/>
        <w:spacing w:before="902" w:after="0" w:line="240" w:lineRule="auto"/>
        <w:jc w:val="center"/>
        <w:rPr>
          <w:rFonts w:ascii="Tahoma" w:hAnsi="Tahoma" w:cs="Tahoma"/>
          <w:color w:val="080000"/>
          <w:kern w:val="0"/>
          <w:sz w:val="16"/>
          <w:szCs w:val="16"/>
        </w:rPr>
      </w:pPr>
      <w:r>
        <w:rPr>
          <w:rFonts w:ascii="Tahoma" w:hAnsi="Tahoma" w:cs="Tahoma"/>
          <w:color w:val="080000"/>
          <w:kern w:val="0"/>
          <w:sz w:val="16"/>
          <w:szCs w:val="16"/>
        </w:rPr>
        <w:t>PRIJENOS VIŠKA/MANJKA U SLJEDEĆE RAZDOBLJE                                                                                         0,00                0,00               0,00            0,00             0,00</w:t>
      </w:r>
    </w:p>
    <w:sectPr w:rsidR="0065422F" w:rsidRPr="0065422F">
      <w:pgSz w:w="16838" w:h="11906" w:orient="landscape" w:code="9"/>
      <w:pgMar w:top="288" w:right="454" w:bottom="288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05D53"/>
    <w:multiLevelType w:val="hybridMultilevel"/>
    <w:tmpl w:val="3CC4A872"/>
    <w:lvl w:ilvl="0" w:tplc="F9DE6F66">
      <w:start w:val="1"/>
      <w:numFmt w:val="upperRoman"/>
      <w:lvlText w:val="%1."/>
      <w:lvlJc w:val="left"/>
      <w:pPr>
        <w:ind w:left="76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8040" w:hanging="360"/>
      </w:pPr>
    </w:lvl>
    <w:lvl w:ilvl="2" w:tplc="041A001B" w:tentative="1">
      <w:start w:val="1"/>
      <w:numFmt w:val="lowerRoman"/>
      <w:lvlText w:val="%3."/>
      <w:lvlJc w:val="right"/>
      <w:pPr>
        <w:ind w:left="8760" w:hanging="180"/>
      </w:pPr>
    </w:lvl>
    <w:lvl w:ilvl="3" w:tplc="041A000F" w:tentative="1">
      <w:start w:val="1"/>
      <w:numFmt w:val="decimal"/>
      <w:lvlText w:val="%4."/>
      <w:lvlJc w:val="left"/>
      <w:pPr>
        <w:ind w:left="9480" w:hanging="360"/>
      </w:pPr>
    </w:lvl>
    <w:lvl w:ilvl="4" w:tplc="041A0019" w:tentative="1">
      <w:start w:val="1"/>
      <w:numFmt w:val="lowerLetter"/>
      <w:lvlText w:val="%5."/>
      <w:lvlJc w:val="left"/>
      <w:pPr>
        <w:ind w:left="10200" w:hanging="360"/>
      </w:pPr>
    </w:lvl>
    <w:lvl w:ilvl="5" w:tplc="041A001B" w:tentative="1">
      <w:start w:val="1"/>
      <w:numFmt w:val="lowerRoman"/>
      <w:lvlText w:val="%6."/>
      <w:lvlJc w:val="right"/>
      <w:pPr>
        <w:ind w:left="10920" w:hanging="180"/>
      </w:pPr>
    </w:lvl>
    <w:lvl w:ilvl="6" w:tplc="041A000F" w:tentative="1">
      <w:start w:val="1"/>
      <w:numFmt w:val="decimal"/>
      <w:lvlText w:val="%7."/>
      <w:lvlJc w:val="left"/>
      <w:pPr>
        <w:ind w:left="11640" w:hanging="360"/>
      </w:pPr>
    </w:lvl>
    <w:lvl w:ilvl="7" w:tplc="041A0019" w:tentative="1">
      <w:start w:val="1"/>
      <w:numFmt w:val="lowerLetter"/>
      <w:lvlText w:val="%8."/>
      <w:lvlJc w:val="left"/>
      <w:pPr>
        <w:ind w:left="12360" w:hanging="360"/>
      </w:pPr>
    </w:lvl>
    <w:lvl w:ilvl="8" w:tplc="041A001B" w:tentative="1">
      <w:start w:val="1"/>
      <w:numFmt w:val="lowerRoman"/>
      <w:lvlText w:val="%9."/>
      <w:lvlJc w:val="right"/>
      <w:pPr>
        <w:ind w:left="13080" w:hanging="180"/>
      </w:pPr>
    </w:lvl>
  </w:abstractNum>
  <w:num w:numId="1" w16cid:durableId="3322988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61F"/>
    <w:rsid w:val="000E604F"/>
    <w:rsid w:val="00273FDC"/>
    <w:rsid w:val="003D72F4"/>
    <w:rsid w:val="0053793C"/>
    <w:rsid w:val="006264DF"/>
    <w:rsid w:val="0065422F"/>
    <w:rsid w:val="00746D5A"/>
    <w:rsid w:val="00796EF3"/>
    <w:rsid w:val="008E0F5E"/>
    <w:rsid w:val="00A06E16"/>
    <w:rsid w:val="00A8261F"/>
    <w:rsid w:val="00A872C1"/>
    <w:rsid w:val="00B017D8"/>
    <w:rsid w:val="00BB7019"/>
    <w:rsid w:val="00BE0AEB"/>
    <w:rsid w:val="00C03882"/>
    <w:rsid w:val="00C86B36"/>
    <w:rsid w:val="00FF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97AB4F"/>
  <w14:defaultImageDpi w14:val="0"/>
  <w15:docId w15:val="{8A6586F5-AE98-410C-BDB8-A03F398C9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hr-HR" w:eastAsia="hr-H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96E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dcterms:created xsi:type="dcterms:W3CDTF">2023-11-30T09:22:00Z</dcterms:created>
  <dcterms:modified xsi:type="dcterms:W3CDTF">2023-11-30T09:22:00Z</dcterms:modified>
</cp:coreProperties>
</file>